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福建东南设计集团有限公司房地产分公司、三明生态新城明城康养投资开发有限公司、福建东南设计房地产开发有限公司将乐分公司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城发天悦湾、三明康养城、云栖央著项目2026年年度营销印刷品制作（二次比选）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城发天悦湾、三明康养城、云栖央著项目2026年年度营销印刷品制作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二次比选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58804357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</w:pPr>
      <w:r>
        <w:rPr>
          <w:rFonts w:hint="eastAsia"/>
          <w:color w:val="auto"/>
          <w:highlight w:val="none"/>
          <w:lang w:eastAsia="zh-CN"/>
        </w:rPr>
        <w:t>业绩证明材料。</w:t>
      </w:r>
    </w:p>
    <w:p w14:paraId="6465F332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4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4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4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4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4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4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4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4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4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F3E930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47AA100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1-3.业绩证明材料</w:t>
      </w:r>
    </w:p>
    <w:p w14:paraId="08044C58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业绩证明材料</w:t>
      </w:r>
    </w:p>
    <w:p w14:paraId="0122FB3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center"/>
        <w:textAlignment w:val="auto"/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</w:p>
    <w:p w14:paraId="769CEC78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比选申请人自本比选公告之日的前三年内（含公告发布之日）具备至少1项印刷品年度框架类类似业绩，且该业绩对应的合作期限不少于1年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。</w:t>
      </w:r>
    </w:p>
    <w:p w14:paraId="425C8153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B9A787F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3442719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00FFE83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2E9FBF0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t>须提供类似业绩合同复印件、合同款正式发票复印件（需要“国家税务总局全国增值税发票查验平台”验真截图），业绩时间以合同签订之日为准；业绩证明材料须加盖</w:t>
      </w:r>
    </w:p>
    <w:p w14:paraId="18092FED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7" w:type="default"/>
      <w:footerReference r:id="rId8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CFA76">
    <w:pPr>
      <w:pStyle w:val="13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04F4B3E">
                          <w:pPr>
                            <w:pStyle w:val="1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4F4B3E">
                    <w:pPr>
                      <w:pStyle w:val="13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D8FFA">
    <w:pPr>
      <w:pStyle w:val="1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4E3773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9E92483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DE67C5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3A57EB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893719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47DB4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7B6F5B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1082</Words>
  <Characters>1124</Characters>
  <Lines>16</Lines>
  <Paragraphs>4</Paragraphs>
  <TotalTime>3</TotalTime>
  <ScaleCrop>false</ScaleCrop>
  <LinksUpToDate>false</LinksUpToDate>
  <CharactersWithSpaces>1378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2026-03-04T06:47:56Z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164B58CDDD584FF197C8C357562476AF_13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